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A8611" w14:textId="41AC9E4F" w:rsidR="00D639E0" w:rsidRPr="00350E25" w:rsidRDefault="00D639E0" w:rsidP="00D639E0">
      <w:pPr>
        <w:pStyle w:val="StandardWeb"/>
        <w:rPr>
          <w:rFonts w:asciiTheme="minorHAnsi" w:hAnsiTheme="minorHAnsi" w:cstheme="minorHAnsi"/>
          <w:sz w:val="22"/>
          <w:szCs w:val="22"/>
          <w:lang w:val="de-DE"/>
        </w:rPr>
      </w:pPr>
      <w:r w:rsidRPr="00350E25">
        <w:rPr>
          <w:rFonts w:asciiTheme="minorHAnsi" w:hAnsiTheme="minorHAnsi" w:cstheme="minorHAnsi"/>
          <w:sz w:val="22"/>
          <w:szCs w:val="22"/>
          <w:lang w:val="de-DE"/>
        </w:rPr>
        <w:t xml:space="preserve">Düsseldorf, </w:t>
      </w:r>
      <w:r>
        <w:rPr>
          <w:rFonts w:asciiTheme="minorHAnsi" w:hAnsiTheme="minorHAnsi" w:cstheme="minorHAnsi"/>
          <w:sz w:val="22"/>
          <w:szCs w:val="22"/>
          <w:lang w:val="de-DE"/>
        </w:rPr>
        <w:t>07</w:t>
      </w:r>
      <w:r w:rsidRPr="00D639E0">
        <w:rPr>
          <w:rFonts w:asciiTheme="minorHAnsi" w:hAnsiTheme="minorHAnsi" w:cstheme="minorHAnsi"/>
          <w:sz w:val="22"/>
          <w:szCs w:val="22"/>
          <w:lang w:val="de-DE"/>
        </w:rPr>
        <w:t xml:space="preserve"> </w:t>
      </w:r>
      <w:r>
        <w:rPr>
          <w:rFonts w:asciiTheme="minorHAnsi" w:hAnsiTheme="minorHAnsi" w:cstheme="minorHAnsi"/>
          <w:sz w:val="22"/>
          <w:szCs w:val="22"/>
          <w:lang w:val="de-DE"/>
        </w:rPr>
        <w:t>Oktober</w:t>
      </w:r>
      <w:r w:rsidRPr="00D639E0">
        <w:rPr>
          <w:rFonts w:asciiTheme="minorHAnsi" w:hAnsiTheme="minorHAnsi" w:cstheme="minorHAnsi"/>
          <w:sz w:val="22"/>
          <w:szCs w:val="22"/>
          <w:lang w:val="de-DE"/>
        </w:rPr>
        <w:t xml:space="preserve"> 2025</w:t>
      </w:r>
    </w:p>
    <w:p w14:paraId="6061B078" w14:textId="77777777" w:rsidR="00214FC0" w:rsidRPr="00377766" w:rsidRDefault="00214FC0" w:rsidP="00053EB2">
      <w:pPr>
        <w:ind w:right="851"/>
        <w:rPr>
          <w:rStyle w:val="etmabriefe"/>
          <w:bCs/>
          <w:lang w:val="de-DE"/>
        </w:rPr>
      </w:pPr>
    </w:p>
    <w:p w14:paraId="4586D1ED" w14:textId="77777777" w:rsidR="00214FC0" w:rsidRPr="00350E25" w:rsidRDefault="00214FC0" w:rsidP="00350E25">
      <w:pPr>
        <w:pStyle w:val="StandardWeb"/>
        <w:jc w:val="center"/>
        <w:rPr>
          <w:rFonts w:asciiTheme="minorHAnsi" w:hAnsiTheme="minorHAnsi" w:cstheme="minorHAnsi"/>
          <w:sz w:val="28"/>
          <w:szCs w:val="28"/>
          <w:lang w:val="de-DE"/>
        </w:rPr>
      </w:pPr>
      <w:r w:rsidRPr="00350E25">
        <w:rPr>
          <w:rStyle w:val="Fett"/>
          <w:rFonts w:asciiTheme="minorHAnsi" w:hAnsiTheme="minorHAnsi" w:cstheme="minorHAnsi"/>
          <w:sz w:val="28"/>
          <w:szCs w:val="28"/>
          <w:lang w:val="de-DE"/>
        </w:rPr>
        <w:t>Pressemitteilung</w:t>
      </w:r>
    </w:p>
    <w:p w14:paraId="593215D7" w14:textId="77777777" w:rsidR="00D639E0" w:rsidRDefault="00D639E0" w:rsidP="00214FC0">
      <w:pPr>
        <w:pStyle w:val="StandardWeb"/>
        <w:rPr>
          <w:rStyle w:val="Fett"/>
          <w:rFonts w:asciiTheme="minorHAnsi" w:hAnsiTheme="minorHAnsi" w:cstheme="minorHAnsi"/>
          <w:lang w:val="de-DE"/>
        </w:rPr>
      </w:pPr>
      <w:r w:rsidRPr="00D639E0">
        <w:rPr>
          <w:rStyle w:val="Fett"/>
          <w:rFonts w:asciiTheme="minorHAnsi" w:hAnsiTheme="minorHAnsi" w:cstheme="minorHAnsi"/>
          <w:lang w:val="de-DE"/>
        </w:rPr>
        <w:t>Europas Tubenhersteller berichten rückläufigen Markt im ersten Halbjahr 2025</w:t>
      </w:r>
    </w:p>
    <w:p w14:paraId="38E85D27" w14:textId="372D2004" w:rsidR="00214FC0" w:rsidRPr="00350E25" w:rsidRDefault="00214FC0" w:rsidP="00214FC0">
      <w:pPr>
        <w:pStyle w:val="StandardWeb"/>
        <w:rPr>
          <w:rFonts w:asciiTheme="minorHAnsi" w:hAnsiTheme="minorHAnsi" w:cstheme="minorHAnsi"/>
          <w:sz w:val="22"/>
          <w:szCs w:val="22"/>
          <w:lang w:val="de-DE"/>
        </w:rPr>
      </w:pPr>
      <w:r w:rsidRPr="00350E25">
        <w:rPr>
          <w:rStyle w:val="Fett"/>
          <w:rFonts w:asciiTheme="minorHAnsi" w:hAnsiTheme="minorHAnsi" w:cstheme="minorHAnsi"/>
          <w:sz w:val="22"/>
          <w:szCs w:val="22"/>
          <w:lang w:val="de-DE"/>
        </w:rPr>
        <w:t>Rückgang der Gesamtauslieferungen, unterschiedliche Entwicklung bei den Tubenarten</w:t>
      </w:r>
    </w:p>
    <w:p w14:paraId="454A6BB9" w14:textId="0332FA47" w:rsidR="00214FC0" w:rsidRPr="00350E25" w:rsidRDefault="00214FC0" w:rsidP="00214FC0">
      <w:pPr>
        <w:pStyle w:val="StandardWeb"/>
        <w:rPr>
          <w:rFonts w:asciiTheme="minorHAnsi" w:hAnsiTheme="minorHAnsi" w:cstheme="minorHAnsi"/>
          <w:sz w:val="22"/>
          <w:szCs w:val="22"/>
          <w:lang w:val="de-DE"/>
        </w:rPr>
      </w:pPr>
      <w:r w:rsidRPr="00350E25">
        <w:rPr>
          <w:rFonts w:asciiTheme="minorHAnsi" w:hAnsiTheme="minorHAnsi" w:cstheme="minorHAnsi"/>
          <w:sz w:val="22"/>
          <w:szCs w:val="22"/>
          <w:lang w:val="de-DE"/>
        </w:rPr>
        <w:t>Der Tubenmarkt zeigte im ersten Halbjahr 2025 eine schwächere Entwicklung. Nach Angaben de</w:t>
      </w:r>
      <w:r w:rsidR="00A96E64">
        <w:rPr>
          <w:rFonts w:asciiTheme="minorHAnsi" w:hAnsiTheme="minorHAnsi" w:cstheme="minorHAnsi"/>
          <w:sz w:val="22"/>
          <w:szCs w:val="22"/>
          <w:lang w:val="de-DE"/>
        </w:rPr>
        <w:t>r</w:t>
      </w:r>
      <w:r w:rsidRPr="00350E25">
        <w:rPr>
          <w:rFonts w:asciiTheme="minorHAnsi" w:hAnsiTheme="minorHAnsi" w:cstheme="minorHAnsi"/>
          <w:sz w:val="22"/>
          <w:szCs w:val="22"/>
          <w:lang w:val="de-DE"/>
        </w:rPr>
        <w:t xml:space="preserve"> </w:t>
      </w:r>
      <w:r w:rsidR="001845FD">
        <w:rPr>
          <w:rFonts w:asciiTheme="minorHAnsi" w:hAnsiTheme="minorHAnsi" w:cstheme="minorHAnsi"/>
          <w:sz w:val="22"/>
          <w:szCs w:val="22"/>
          <w:lang w:val="de-DE"/>
        </w:rPr>
        <w:t>European Tube</w:t>
      </w:r>
      <w:r w:rsidR="00F1303E">
        <w:rPr>
          <w:rFonts w:asciiTheme="minorHAnsi" w:hAnsiTheme="minorHAnsi" w:cstheme="minorHAnsi"/>
          <w:sz w:val="22"/>
          <w:szCs w:val="22"/>
          <w:lang w:val="de-DE"/>
        </w:rPr>
        <w:t xml:space="preserve"> </w:t>
      </w:r>
      <w:proofErr w:type="spellStart"/>
      <w:r w:rsidR="00F1303E" w:rsidRPr="008F245B">
        <w:rPr>
          <w:rFonts w:asciiTheme="minorHAnsi" w:hAnsiTheme="minorHAnsi" w:cstheme="minorHAnsi"/>
          <w:sz w:val="22"/>
          <w:szCs w:val="22"/>
          <w:lang w:val="de-DE"/>
        </w:rPr>
        <w:t>Manufacturers</w:t>
      </w:r>
      <w:proofErr w:type="spellEnd"/>
      <w:r w:rsidR="00F1303E" w:rsidRPr="008F245B">
        <w:rPr>
          <w:rFonts w:asciiTheme="minorHAnsi" w:hAnsiTheme="minorHAnsi" w:cstheme="minorHAnsi"/>
          <w:sz w:val="22"/>
          <w:szCs w:val="22"/>
          <w:lang w:val="de-DE"/>
        </w:rPr>
        <w:t xml:space="preserve"> </w:t>
      </w:r>
      <w:proofErr w:type="spellStart"/>
      <w:r w:rsidR="00F1303E" w:rsidRPr="008F245B">
        <w:rPr>
          <w:rFonts w:asciiTheme="minorHAnsi" w:hAnsiTheme="minorHAnsi" w:cstheme="minorHAnsi"/>
          <w:sz w:val="22"/>
          <w:szCs w:val="22"/>
          <w:lang w:val="de-DE"/>
        </w:rPr>
        <w:t>Association</w:t>
      </w:r>
      <w:proofErr w:type="spellEnd"/>
      <w:r w:rsidRPr="00350E25">
        <w:rPr>
          <w:rFonts w:asciiTheme="minorHAnsi" w:hAnsiTheme="minorHAnsi" w:cstheme="minorHAnsi"/>
          <w:sz w:val="22"/>
          <w:szCs w:val="22"/>
          <w:lang w:val="de-DE"/>
        </w:rPr>
        <w:t xml:space="preserve"> (etma) gingen die Gesamtauslieferungen von Aluminium-, Laminat- und Kunststofftuben im Vergleich zum Vorjahreszeitraum um 3,9 % auf rund 5,8 Milliarden Stück zurück.</w:t>
      </w:r>
    </w:p>
    <w:p w14:paraId="531367C8" w14:textId="77777777" w:rsidR="00214FC0" w:rsidRPr="00350E25" w:rsidRDefault="00214FC0" w:rsidP="00214FC0">
      <w:pPr>
        <w:pStyle w:val="StandardWeb"/>
        <w:rPr>
          <w:rFonts w:asciiTheme="minorHAnsi" w:hAnsiTheme="minorHAnsi" w:cstheme="minorHAnsi"/>
          <w:sz w:val="22"/>
          <w:szCs w:val="22"/>
          <w:lang w:val="de-DE"/>
        </w:rPr>
      </w:pPr>
      <w:r w:rsidRPr="00350E25">
        <w:rPr>
          <w:rFonts w:asciiTheme="minorHAnsi" w:hAnsiTheme="minorHAnsi" w:cstheme="minorHAnsi"/>
          <w:sz w:val="22"/>
          <w:szCs w:val="22"/>
          <w:lang w:val="de-DE"/>
        </w:rPr>
        <w:t>Die einzelnen Tubenarten entwickelten sich dabei unterschiedlich:</w:t>
      </w:r>
    </w:p>
    <w:p w14:paraId="2A8139C0" w14:textId="77777777" w:rsidR="00214FC0" w:rsidRPr="00350E25" w:rsidRDefault="00214FC0" w:rsidP="00214FC0">
      <w:pPr>
        <w:pStyle w:val="StandardWeb"/>
        <w:numPr>
          <w:ilvl w:val="0"/>
          <w:numId w:val="10"/>
        </w:numPr>
        <w:rPr>
          <w:rFonts w:asciiTheme="minorHAnsi" w:hAnsiTheme="minorHAnsi" w:cstheme="minorHAnsi"/>
          <w:sz w:val="22"/>
          <w:szCs w:val="22"/>
          <w:lang w:val="de-DE"/>
        </w:rPr>
      </w:pPr>
      <w:r w:rsidRPr="00350E25">
        <w:rPr>
          <w:rStyle w:val="Fett"/>
          <w:rFonts w:asciiTheme="minorHAnsi" w:hAnsiTheme="minorHAnsi" w:cstheme="minorHAnsi"/>
          <w:sz w:val="22"/>
          <w:szCs w:val="22"/>
          <w:lang w:val="de-DE"/>
        </w:rPr>
        <w:t>Aluminiumtuben</w:t>
      </w:r>
      <w:r w:rsidRPr="00350E25">
        <w:rPr>
          <w:rFonts w:asciiTheme="minorHAnsi" w:hAnsiTheme="minorHAnsi" w:cstheme="minorHAnsi"/>
          <w:sz w:val="22"/>
          <w:szCs w:val="22"/>
          <w:lang w:val="de-DE"/>
        </w:rPr>
        <w:t>: Mit Auslieferungen von fast 2 Milliarden Stück verzeichnete der Aluminiumtubenmarkt einen Rückgang von 4,8 %. Während die Nachfrage aus dem Lebensmittelsektor stabil blieb und im Kosmetikbereich sogar leicht anstieg, führte der deutliche Rückgang bei den Auslieferungen an die Pharmaindustrie – das wichtigste Absatzsegment – maßgeblich zum Gesamtminus.</w:t>
      </w:r>
    </w:p>
    <w:p w14:paraId="3A914947" w14:textId="77777777" w:rsidR="00214FC0" w:rsidRPr="00350E25" w:rsidRDefault="00214FC0" w:rsidP="00214FC0">
      <w:pPr>
        <w:pStyle w:val="StandardWeb"/>
        <w:numPr>
          <w:ilvl w:val="0"/>
          <w:numId w:val="10"/>
        </w:numPr>
        <w:rPr>
          <w:rFonts w:asciiTheme="minorHAnsi" w:hAnsiTheme="minorHAnsi" w:cstheme="minorHAnsi"/>
          <w:sz w:val="22"/>
          <w:szCs w:val="22"/>
          <w:lang w:val="de-DE"/>
        </w:rPr>
      </w:pPr>
      <w:r w:rsidRPr="00350E25">
        <w:rPr>
          <w:rStyle w:val="Fett"/>
          <w:rFonts w:asciiTheme="minorHAnsi" w:hAnsiTheme="minorHAnsi" w:cstheme="minorHAnsi"/>
          <w:sz w:val="22"/>
          <w:szCs w:val="22"/>
          <w:lang w:val="de-DE"/>
        </w:rPr>
        <w:t>Laminattuben</w:t>
      </w:r>
      <w:r w:rsidRPr="00350E25">
        <w:rPr>
          <w:rFonts w:asciiTheme="minorHAnsi" w:hAnsiTheme="minorHAnsi" w:cstheme="minorHAnsi"/>
          <w:sz w:val="22"/>
          <w:szCs w:val="22"/>
          <w:lang w:val="de-DE"/>
        </w:rPr>
        <w:t>: Die Auslieferungen stiegen auf fast 2,36 Milliarden Stück, was einem Plus von 3,6 % gegenüber dem Vorjahr entspricht. Besonders stark war das Wachstum in den Märkten für Zahnpasta und Pharmazeutika.</w:t>
      </w:r>
    </w:p>
    <w:p w14:paraId="72B4EA0E" w14:textId="77777777" w:rsidR="00214FC0" w:rsidRPr="00350E25" w:rsidRDefault="00214FC0" w:rsidP="00214FC0">
      <w:pPr>
        <w:pStyle w:val="StandardWeb"/>
        <w:numPr>
          <w:ilvl w:val="0"/>
          <w:numId w:val="10"/>
        </w:numPr>
        <w:rPr>
          <w:rFonts w:asciiTheme="minorHAnsi" w:hAnsiTheme="minorHAnsi" w:cstheme="minorHAnsi"/>
          <w:sz w:val="22"/>
          <w:szCs w:val="22"/>
          <w:lang w:val="de-DE"/>
        </w:rPr>
      </w:pPr>
      <w:r w:rsidRPr="00350E25">
        <w:rPr>
          <w:rStyle w:val="Fett"/>
          <w:rFonts w:asciiTheme="minorHAnsi" w:hAnsiTheme="minorHAnsi" w:cstheme="minorHAnsi"/>
          <w:sz w:val="22"/>
          <w:szCs w:val="22"/>
          <w:lang w:val="de-DE"/>
        </w:rPr>
        <w:t>Kunststofftuben</w:t>
      </w:r>
      <w:r w:rsidRPr="00350E25">
        <w:rPr>
          <w:rFonts w:asciiTheme="minorHAnsi" w:hAnsiTheme="minorHAnsi" w:cstheme="minorHAnsi"/>
          <w:sz w:val="22"/>
          <w:szCs w:val="22"/>
          <w:lang w:val="de-DE"/>
        </w:rPr>
        <w:t>: Mit rund 1,47 Milliarden Stück gingen die Auslieferungen deutlich um 12,8 % zurück. Hauptursache war die stark rückläufige Nachfrage im Kosmetiksektor, insbesondere bei Tuben mit kleinerem Durchmesser.</w:t>
      </w:r>
    </w:p>
    <w:p w14:paraId="2183FCF2" w14:textId="77777777" w:rsidR="00214FC0" w:rsidRPr="00350E25" w:rsidRDefault="00214FC0" w:rsidP="00214FC0">
      <w:pPr>
        <w:pStyle w:val="StandardWeb"/>
        <w:rPr>
          <w:rFonts w:asciiTheme="minorHAnsi" w:hAnsiTheme="minorHAnsi" w:cstheme="minorHAnsi"/>
          <w:sz w:val="22"/>
          <w:szCs w:val="22"/>
          <w:lang w:val="de-DE"/>
        </w:rPr>
      </w:pPr>
      <w:r w:rsidRPr="00350E25">
        <w:rPr>
          <w:rStyle w:val="Fett"/>
          <w:rFonts w:asciiTheme="minorHAnsi" w:hAnsiTheme="minorHAnsi" w:cstheme="minorHAnsi"/>
          <w:sz w:val="22"/>
          <w:szCs w:val="22"/>
          <w:lang w:val="de-DE"/>
        </w:rPr>
        <w:t>Rezyklate, Handelsunsicherheit und politischer Druck bleiben Herausforderungen</w:t>
      </w:r>
    </w:p>
    <w:p w14:paraId="5F8B8C14" w14:textId="77777777" w:rsidR="00214FC0" w:rsidRPr="00350E25" w:rsidRDefault="00214FC0" w:rsidP="00214FC0">
      <w:pPr>
        <w:pStyle w:val="StandardWeb"/>
        <w:rPr>
          <w:rFonts w:asciiTheme="minorHAnsi" w:hAnsiTheme="minorHAnsi" w:cstheme="minorHAnsi"/>
          <w:sz w:val="22"/>
          <w:szCs w:val="22"/>
          <w:lang w:val="de-DE"/>
        </w:rPr>
      </w:pPr>
      <w:r w:rsidRPr="00350E25">
        <w:rPr>
          <w:rFonts w:asciiTheme="minorHAnsi" w:hAnsiTheme="minorHAnsi" w:cstheme="minorHAnsi"/>
          <w:sz w:val="22"/>
          <w:szCs w:val="22"/>
          <w:lang w:val="de-DE"/>
        </w:rPr>
        <w:t>Die Verwendung von Post-Consumer-Rezyklaten (PCR) bleibt ein zentrales Ziel der Branche. Allerdings ist die Verfügbarkeit nach wie vor begrenzt, insbesondere im Kunststoffbereich. Dies bremst den Übergang zu einem höheren Rezyklatanteil in Verpackungen weiterhin aus.</w:t>
      </w:r>
    </w:p>
    <w:p w14:paraId="0789D600" w14:textId="7283CBC2" w:rsidR="00214FC0" w:rsidRPr="00350E25" w:rsidRDefault="00214FC0" w:rsidP="00214FC0">
      <w:pPr>
        <w:pStyle w:val="StandardWeb"/>
        <w:rPr>
          <w:rFonts w:asciiTheme="minorHAnsi" w:hAnsiTheme="minorHAnsi" w:cstheme="minorHAnsi"/>
          <w:sz w:val="22"/>
          <w:szCs w:val="22"/>
          <w:lang w:val="de-DE"/>
        </w:rPr>
      </w:pPr>
      <w:r w:rsidRPr="00350E25">
        <w:rPr>
          <w:rFonts w:asciiTheme="minorHAnsi" w:hAnsiTheme="minorHAnsi" w:cstheme="minorHAnsi"/>
          <w:sz w:val="22"/>
          <w:szCs w:val="22"/>
          <w:lang w:val="de-DE"/>
        </w:rPr>
        <w:t xml:space="preserve">Darüber hinaus zeigt sich das weltweite Handelsumfeld zunehmend volatil. Die jüngst angekündigten US-Zölle von </w:t>
      </w:r>
      <w:r w:rsidR="00053EB2">
        <w:rPr>
          <w:rFonts w:asciiTheme="minorHAnsi" w:hAnsiTheme="minorHAnsi" w:cstheme="minorHAnsi"/>
          <w:sz w:val="22"/>
          <w:szCs w:val="22"/>
          <w:lang w:val="de-DE"/>
        </w:rPr>
        <w:br/>
      </w:r>
      <w:r w:rsidRPr="00350E25">
        <w:rPr>
          <w:rFonts w:asciiTheme="minorHAnsi" w:hAnsiTheme="minorHAnsi" w:cstheme="minorHAnsi"/>
          <w:sz w:val="22"/>
          <w:szCs w:val="22"/>
          <w:lang w:val="de-DE"/>
        </w:rPr>
        <w:t xml:space="preserve">50 % auf Aluminiumtuben, die im August 2025 in Kraft </w:t>
      </w:r>
      <w:r w:rsidR="00A96E64">
        <w:rPr>
          <w:rFonts w:asciiTheme="minorHAnsi" w:hAnsiTheme="minorHAnsi" w:cstheme="minorHAnsi"/>
          <w:sz w:val="22"/>
          <w:szCs w:val="22"/>
          <w:lang w:val="de-DE"/>
        </w:rPr>
        <w:t>traten</w:t>
      </w:r>
      <w:r w:rsidRPr="00350E25">
        <w:rPr>
          <w:rFonts w:asciiTheme="minorHAnsi" w:hAnsiTheme="minorHAnsi" w:cstheme="minorHAnsi"/>
          <w:sz w:val="22"/>
          <w:szCs w:val="22"/>
          <w:lang w:val="de-DE"/>
        </w:rPr>
        <w:t>, schaffen neue Unsicherheiten für die Branche und belasten die internationalen Lieferketten zusätzlich.</w:t>
      </w:r>
    </w:p>
    <w:p w14:paraId="4DE385B5" w14:textId="77777777" w:rsidR="00214FC0" w:rsidRPr="00350E25" w:rsidRDefault="00214FC0" w:rsidP="00214FC0">
      <w:pPr>
        <w:pStyle w:val="StandardWeb"/>
        <w:rPr>
          <w:rFonts w:asciiTheme="minorHAnsi" w:hAnsiTheme="minorHAnsi" w:cstheme="minorHAnsi"/>
          <w:sz w:val="22"/>
          <w:szCs w:val="22"/>
          <w:lang w:val="de-DE"/>
        </w:rPr>
      </w:pPr>
      <w:r w:rsidRPr="00350E25">
        <w:rPr>
          <w:rStyle w:val="Fett"/>
          <w:rFonts w:asciiTheme="minorHAnsi" w:hAnsiTheme="minorHAnsi" w:cstheme="minorHAnsi"/>
          <w:sz w:val="22"/>
          <w:szCs w:val="22"/>
          <w:lang w:val="de-DE"/>
        </w:rPr>
        <w:t>Widerstandsfähige Branche mit vorsichtigem Optimismus</w:t>
      </w:r>
    </w:p>
    <w:p w14:paraId="2BEC72FD" w14:textId="6347EC2B" w:rsidR="00117A26" w:rsidRPr="0067418A" w:rsidRDefault="00214FC0" w:rsidP="00214FC0">
      <w:pPr>
        <w:pStyle w:val="StandardWeb"/>
        <w:rPr>
          <w:rStyle w:val="Fett"/>
          <w:rFonts w:asciiTheme="minorHAnsi" w:hAnsiTheme="minorHAnsi" w:cstheme="minorHAnsi"/>
          <w:b w:val="0"/>
          <w:bCs w:val="0"/>
          <w:sz w:val="22"/>
          <w:szCs w:val="22"/>
          <w:lang w:val="de-DE"/>
        </w:rPr>
      </w:pPr>
      <w:r w:rsidRPr="00350E25">
        <w:rPr>
          <w:rFonts w:asciiTheme="minorHAnsi" w:hAnsiTheme="minorHAnsi" w:cstheme="minorHAnsi"/>
          <w:sz w:val="22"/>
          <w:szCs w:val="22"/>
          <w:lang w:val="de-DE"/>
        </w:rPr>
        <w:t>„Das erste Halbjahr 2025 hat erneut gezeigt, dass unsere Branche sowohl gefordert als auch widerstandsfähig ist. Trotz schwächerer Nachfrage in einigen wichtigen Märkten, insbesondere Pharma und Kosmetik, sehen wir weiterhin Wachstum in anderen Sektoren und Tubenarten. Die Widerstandsfähigkeit unserer Mitglieder und ihre kontinuierlichen Investitionen in Innovation und Nachhaltigkeit stimmen uns für den weiteren Verlauf des Jahres 2025 vorsichtig optimistisch“, betont etma-Präsident Zoran Joksic.</w:t>
      </w:r>
    </w:p>
    <w:p w14:paraId="20A98CEF" w14:textId="77777777" w:rsidR="00117A26" w:rsidRDefault="00117A26" w:rsidP="00214FC0">
      <w:pPr>
        <w:pStyle w:val="StandardWeb"/>
        <w:rPr>
          <w:rStyle w:val="Fett"/>
          <w:rFonts w:asciiTheme="minorHAnsi" w:hAnsiTheme="minorHAnsi" w:cstheme="minorHAnsi"/>
          <w:sz w:val="22"/>
          <w:szCs w:val="22"/>
          <w:lang w:val="de-DE"/>
        </w:rPr>
      </w:pPr>
    </w:p>
    <w:p w14:paraId="754C95D2" w14:textId="77777777" w:rsidR="00117A26" w:rsidRDefault="00117A26" w:rsidP="00214FC0">
      <w:pPr>
        <w:pStyle w:val="StandardWeb"/>
        <w:rPr>
          <w:rStyle w:val="Fett"/>
          <w:rFonts w:asciiTheme="minorHAnsi" w:hAnsiTheme="minorHAnsi" w:cstheme="minorHAnsi"/>
          <w:sz w:val="22"/>
          <w:szCs w:val="22"/>
          <w:lang w:val="de-DE"/>
        </w:rPr>
      </w:pPr>
    </w:p>
    <w:p w14:paraId="465059BB" w14:textId="161C9F6A" w:rsidR="00214FC0" w:rsidRPr="00350E25" w:rsidRDefault="00214FC0" w:rsidP="00214FC0">
      <w:pPr>
        <w:pStyle w:val="StandardWeb"/>
        <w:rPr>
          <w:rFonts w:asciiTheme="minorHAnsi" w:hAnsiTheme="minorHAnsi" w:cstheme="minorHAnsi"/>
          <w:sz w:val="22"/>
          <w:szCs w:val="22"/>
          <w:lang w:val="de-DE"/>
        </w:rPr>
      </w:pPr>
      <w:r w:rsidRPr="00350E25">
        <w:rPr>
          <w:rStyle w:val="Fett"/>
          <w:rFonts w:asciiTheme="minorHAnsi" w:hAnsiTheme="minorHAnsi" w:cstheme="minorHAnsi"/>
          <w:sz w:val="22"/>
          <w:szCs w:val="22"/>
          <w:lang w:val="de-DE"/>
        </w:rPr>
        <w:lastRenderedPageBreak/>
        <w:t>Kontakt:</w:t>
      </w:r>
      <w:r w:rsidRPr="00350E25">
        <w:rPr>
          <w:rFonts w:asciiTheme="minorHAnsi" w:hAnsiTheme="minorHAnsi" w:cstheme="minorHAnsi"/>
          <w:sz w:val="22"/>
          <w:szCs w:val="22"/>
          <w:lang w:val="de-DE"/>
        </w:rPr>
        <w:br/>
        <w:t>Seifeldin Raslan Mohamed</w:t>
      </w:r>
      <w:r w:rsidRPr="00350E25">
        <w:rPr>
          <w:rFonts w:asciiTheme="minorHAnsi" w:hAnsiTheme="minorHAnsi" w:cstheme="minorHAnsi"/>
          <w:sz w:val="22"/>
          <w:szCs w:val="22"/>
          <w:lang w:val="de-DE"/>
        </w:rPr>
        <w:br/>
        <w:t>Generalsekretär etma</w:t>
      </w:r>
    </w:p>
    <w:p w14:paraId="138F2EEE" w14:textId="77777777" w:rsidR="00214FC0" w:rsidRPr="00214FC0" w:rsidRDefault="00214FC0" w:rsidP="00214FC0">
      <w:pPr>
        <w:rPr>
          <w:lang w:val="de-DE"/>
        </w:rPr>
      </w:pPr>
    </w:p>
    <w:p w14:paraId="2774C3C3" w14:textId="77777777" w:rsidR="00214FC0" w:rsidRPr="00214FC0" w:rsidRDefault="00214FC0" w:rsidP="001916F8">
      <w:pPr>
        <w:ind w:left="709" w:right="851"/>
        <w:rPr>
          <w:rStyle w:val="etmabriefe"/>
          <w:bCs/>
          <w:lang w:val="de-DE"/>
        </w:rPr>
      </w:pPr>
    </w:p>
    <w:sectPr w:rsidR="00214FC0" w:rsidRPr="00214FC0" w:rsidSect="001916F8">
      <w:footerReference w:type="default" r:id="rId7"/>
      <w:headerReference w:type="first" r:id="rId8"/>
      <w:footerReference w:type="first" r:id="rId9"/>
      <w:pgSz w:w="11907" w:h="16840" w:code="9"/>
      <w:pgMar w:top="2127" w:right="618" w:bottom="709" w:left="709" w:header="0" w:footer="7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29EBA" w14:textId="77777777" w:rsidR="00D567CC" w:rsidRDefault="00D567CC" w:rsidP="000C2018">
      <w:r>
        <w:separator/>
      </w:r>
    </w:p>
  </w:endnote>
  <w:endnote w:type="continuationSeparator" w:id="0">
    <w:p w14:paraId="27882E0C" w14:textId="77777777" w:rsidR="00D567CC" w:rsidRDefault="00D567CC" w:rsidP="000C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IN-Regular">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363872741"/>
      <w:docPartObj>
        <w:docPartGallery w:val="Page Numbers (Bottom of Page)"/>
        <w:docPartUnique/>
      </w:docPartObj>
    </w:sdtPr>
    <w:sdtEndPr/>
    <w:sdtContent>
      <w:sdt>
        <w:sdtPr>
          <w:rPr>
            <w:rFonts w:ascii="Arial" w:hAnsi="Arial" w:cs="Arial"/>
            <w:color w:val="007DBA"/>
            <w:sz w:val="16"/>
            <w:szCs w:val="16"/>
          </w:rPr>
          <w:id w:val="-1994328871"/>
          <w:docPartObj>
            <w:docPartGallery w:val="Page Numbers (Top of Page)"/>
            <w:docPartUnique/>
          </w:docPartObj>
        </w:sdtPr>
        <w:sdtEndPr/>
        <w:sdtContent>
          <w:p w14:paraId="13C085E6" w14:textId="77777777" w:rsidR="005735CA" w:rsidRPr="009B0B1C" w:rsidRDefault="005735CA" w:rsidP="005735CA">
            <w:pPr>
              <w:pStyle w:val="Fuzeile"/>
              <w:jc w:val="right"/>
              <w:rPr>
                <w:rFonts w:ascii="Arial" w:hAnsi="Arial" w:cs="Arial"/>
                <w:color w:val="007DBA"/>
                <w:sz w:val="16"/>
                <w:szCs w:val="16"/>
              </w:rPr>
            </w:pPr>
            <w:r w:rsidRPr="009B0B1C">
              <w:rPr>
                <w:rFonts w:ascii="Arial" w:hAnsi="Arial" w:cs="Arial"/>
                <w:bCs/>
                <w:color w:val="007DBA"/>
                <w:sz w:val="16"/>
                <w:szCs w:val="16"/>
              </w:rPr>
              <w:fldChar w:fldCharType="begin"/>
            </w:r>
            <w:r w:rsidRPr="009B0B1C">
              <w:rPr>
                <w:rFonts w:ascii="Arial" w:hAnsi="Arial" w:cs="Arial"/>
                <w:bCs/>
                <w:color w:val="007DBA"/>
                <w:sz w:val="16"/>
                <w:szCs w:val="16"/>
              </w:rPr>
              <w:instrText>PAGE</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r w:rsidRPr="009B0B1C">
              <w:rPr>
                <w:rFonts w:ascii="Arial" w:hAnsi="Arial" w:cs="Arial"/>
                <w:color w:val="007DBA"/>
                <w:sz w:val="16"/>
                <w:szCs w:val="16"/>
                <w:lang w:val="de-DE"/>
              </w:rPr>
              <w:t xml:space="preserve"> / </w:t>
            </w:r>
            <w:r w:rsidRPr="009B0B1C">
              <w:rPr>
                <w:rFonts w:ascii="Arial" w:hAnsi="Arial" w:cs="Arial"/>
                <w:bCs/>
                <w:color w:val="007DBA"/>
                <w:sz w:val="16"/>
                <w:szCs w:val="16"/>
              </w:rPr>
              <w:fldChar w:fldCharType="begin"/>
            </w:r>
            <w:r w:rsidRPr="009B0B1C">
              <w:rPr>
                <w:rFonts w:ascii="Arial" w:hAnsi="Arial" w:cs="Arial"/>
                <w:bCs/>
                <w:color w:val="007DBA"/>
                <w:sz w:val="16"/>
                <w:szCs w:val="16"/>
              </w:rPr>
              <w:instrText>NUMPAGES</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p>
        </w:sdtContent>
      </w:sdt>
    </w:sdtContent>
  </w:sdt>
  <w:p w14:paraId="5BDD7510" w14:textId="77777777" w:rsidR="005735CA" w:rsidRDefault="005735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702160357"/>
      <w:docPartObj>
        <w:docPartGallery w:val="Page Numbers (Bottom of Page)"/>
        <w:docPartUnique/>
      </w:docPartObj>
    </w:sdtPr>
    <w:sdtEndPr/>
    <w:sdtContent>
      <w:sdt>
        <w:sdtPr>
          <w:rPr>
            <w:rFonts w:ascii="Arial" w:hAnsi="Arial" w:cs="Arial"/>
            <w:color w:val="007DBA"/>
            <w:sz w:val="16"/>
            <w:szCs w:val="16"/>
          </w:rPr>
          <w:id w:val="452603900"/>
          <w:docPartObj>
            <w:docPartGallery w:val="Page Numbers (Top of Page)"/>
            <w:docPartUnique/>
          </w:docPartObj>
        </w:sdtPr>
        <w:sdtEndPr/>
        <w:sdtContent>
          <w:p w14:paraId="199F8BEA" w14:textId="77777777" w:rsidR="005735CA" w:rsidRPr="00925FB9" w:rsidRDefault="005735CA">
            <w:pPr>
              <w:pStyle w:val="Fuzeile"/>
              <w:jc w:val="right"/>
              <w:rPr>
                <w:rFonts w:ascii="Arial" w:hAnsi="Arial" w:cs="Arial"/>
                <w:color w:val="007DBA"/>
                <w:sz w:val="16"/>
                <w:szCs w:val="16"/>
              </w:rPr>
            </w:pPr>
            <w:r w:rsidRPr="00925FB9">
              <w:rPr>
                <w:rFonts w:ascii="Times New Roman" w:hAnsi="Times New Roman"/>
                <w:noProof/>
                <w:color w:val="007DBA"/>
                <w:szCs w:val="24"/>
                <w:lang w:val="de-DE"/>
              </w:rPr>
              <mc:AlternateContent>
                <mc:Choice Requires="wps">
                  <w:drawing>
                    <wp:anchor distT="0" distB="0" distL="114300" distR="114300" simplePos="0" relativeHeight="251660288" behindDoc="1" locked="1" layoutInCell="1" allowOverlap="0" wp14:anchorId="664F6C8B" wp14:editId="10040E01">
                      <wp:simplePos x="0" y="0"/>
                      <wp:positionH relativeFrom="page">
                        <wp:posOffset>476250</wp:posOffset>
                      </wp:positionH>
                      <wp:positionV relativeFrom="page">
                        <wp:posOffset>9761855</wp:posOffset>
                      </wp:positionV>
                      <wp:extent cx="6754495" cy="712470"/>
                      <wp:effectExtent l="0" t="0" r="0" b="0"/>
                      <wp:wrapNone/>
                      <wp:docPr id="26" name="Textfeld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75449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6E10B7A1"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r w:rsidR="00053EB2">
                                    <w:rPr>
                                      <w:rStyle w:val="etmabriefe"/>
                                      <w:sz w:val="17"/>
                                      <w:lang w:val="de-DE"/>
                                    </w:rPr>
                                    <w:t>P</w:t>
                                  </w:r>
                                  <w:r w:rsidR="005735CA">
                                    <w:rPr>
                                      <w:rStyle w:val="etmabriefe"/>
                                      <w:sz w:val="17"/>
                                      <w:lang w:val="de-DE"/>
                                    </w:rPr>
                                    <w:t>hone</w:t>
                                  </w:r>
                                  <w:r>
                                    <w:rPr>
                                      <w:rStyle w:val="etmabriefe"/>
                                      <w:sz w:val="17"/>
                                      <w:lang w:val="de-DE"/>
                                    </w:rPr>
                                    <w:t xml:space="preserve"> </w:t>
                                  </w:r>
                                  <w:r w:rsidR="005735CA">
                                    <w:rPr>
                                      <w:rStyle w:val="etmabriefe"/>
                                      <w:sz w:val="17"/>
                                      <w:lang w:val="de-DE"/>
                                    </w:rPr>
                                    <w:t>+49 211 4796-</w:t>
                                  </w:r>
                                  <w:r w:rsidR="00491714">
                                    <w:rPr>
                                      <w:rStyle w:val="etmabriefe"/>
                                      <w:sz w:val="17"/>
                                      <w:lang w:val="de-DE"/>
                                    </w:rPr>
                                    <w:t>280</w:t>
                                  </w:r>
                                </w:p>
                                <w:p w14:paraId="609BC5F9" w14:textId="191D457C"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r>
                                  <w:proofErr w:type="gramStart"/>
                                  <w:r w:rsidR="00053EB2">
                                    <w:rPr>
                                      <w:rStyle w:val="etmabriefe"/>
                                      <w:sz w:val="17"/>
                                      <w:lang w:val="de-DE"/>
                                    </w:rPr>
                                    <w:t>E</w:t>
                                  </w:r>
                                  <w:r>
                                    <w:rPr>
                                      <w:rStyle w:val="etmabriefe"/>
                                      <w:sz w:val="17"/>
                                      <w:lang w:val="de-DE"/>
                                    </w:rPr>
                                    <w:t>mail</w:t>
                                  </w:r>
                                  <w:r w:rsidR="00D639E0">
                                    <w:rPr>
                                      <w:rStyle w:val="etmabriefe"/>
                                      <w:sz w:val="17"/>
                                      <w:lang w:val="de-DE"/>
                                    </w:rPr>
                                    <w:t>:info@etma-online.org</w:t>
                                  </w:r>
                                  <w:proofErr w:type="gramEnd"/>
                                  <w:hyperlink r:id="rId1" w:history="1"/>
                                </w:p>
                                <w:p w14:paraId="5306BDEB" w14:textId="23181F13" w:rsidR="005735CA" w:rsidRPr="00377766" w:rsidRDefault="008841BF" w:rsidP="005735CA">
                                  <w:pPr>
                                    <w:tabs>
                                      <w:tab w:val="left" w:pos="284"/>
                                      <w:tab w:val="left" w:pos="7655"/>
                                      <w:tab w:val="left" w:pos="8364"/>
                                    </w:tabs>
                                    <w:ind w:firstLine="426"/>
                                    <w:rPr>
                                      <w:rStyle w:val="etmabriefe"/>
                                      <w:sz w:val="17"/>
                                      <w:lang w:val="en-US"/>
                                    </w:rPr>
                                  </w:pPr>
                                  <w:r w:rsidRPr="00377766">
                                    <w:rPr>
                                      <w:rStyle w:val="etmabriefe"/>
                                      <w:sz w:val="17"/>
                                      <w:lang w:val="en-US"/>
                                    </w:rPr>
                                    <w:t>GERMANY</w:t>
                                  </w:r>
                                  <w:r w:rsidR="005735CA" w:rsidRPr="00377766">
                                    <w:rPr>
                                      <w:rStyle w:val="etmabriefe"/>
                                      <w:sz w:val="17"/>
                                      <w:lang w:val="en-US"/>
                                    </w:rPr>
                                    <w:tab/>
                                  </w:r>
                                  <w:r w:rsidR="00053EB2" w:rsidRPr="00377766">
                                    <w:rPr>
                                      <w:rStyle w:val="etmabriefe"/>
                                      <w:sz w:val="17"/>
                                      <w:lang w:val="en-US"/>
                                    </w:rPr>
                                    <w:t>W</w:t>
                                  </w:r>
                                  <w:r w:rsidR="005735CA" w:rsidRPr="00377766">
                                    <w:rPr>
                                      <w:rStyle w:val="etmabriefe"/>
                                      <w:sz w:val="17"/>
                                      <w:lang w:val="en-US"/>
                                    </w:rPr>
                                    <w:t>eb</w:t>
                                  </w:r>
                                  <w:r w:rsidRPr="00377766">
                                    <w:rPr>
                                      <w:rStyle w:val="etmabriefe"/>
                                      <w:sz w:val="17"/>
                                      <w:lang w:val="en-US"/>
                                    </w:rPr>
                                    <w:t xml:space="preserve"> </w:t>
                                  </w:r>
                                  <w:hyperlink r:id="rId2" w:history="1">
                                    <w:r w:rsidR="005735CA" w:rsidRPr="00377766">
                                      <w:rPr>
                                        <w:rStyle w:val="Hyperlink"/>
                                        <w:rFonts w:ascii="Arial" w:hAnsi="Arial" w:cs="Arial"/>
                                        <w:color w:val="007DBA"/>
                                        <w:sz w:val="17"/>
                                        <w:lang w:val="en-US"/>
                                      </w:rPr>
                                      <w:t>www.etma-online.org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F6C8B" id="_x0000_t202" coordsize="21600,21600" o:spt="202" path="m,l,21600r21600,l21600,xe">
                      <v:stroke joinstyle="miter"/>
                      <v:path gradientshapeok="t" o:connecttype="rect"/>
                    </v:shapetype>
                    <v:shape id="Textfeld 26" o:spid="_x0000_s1026" type="#_x0000_t202" style="position:absolute;left:0;text-align:left;margin-left:37.5pt;margin-top:768.65pt;width:531.85pt;height:56.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" o:allowoverlap="f" filled="f" stroked="f">
                      <o:lock v:ext="edit" aspectratio="t"/>
                      <v:textbo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6E10B7A1"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r w:rsidR="00053EB2">
                              <w:rPr>
                                <w:rStyle w:val="etmabriefe"/>
                                <w:sz w:val="17"/>
                                <w:lang w:val="de-DE"/>
                              </w:rPr>
                              <w:t>P</w:t>
                            </w:r>
                            <w:r w:rsidR="005735CA">
                              <w:rPr>
                                <w:rStyle w:val="etmabriefe"/>
                                <w:sz w:val="17"/>
                                <w:lang w:val="de-DE"/>
                              </w:rPr>
                              <w:t>hone</w:t>
                            </w:r>
                            <w:r>
                              <w:rPr>
                                <w:rStyle w:val="etmabriefe"/>
                                <w:sz w:val="17"/>
                                <w:lang w:val="de-DE"/>
                              </w:rPr>
                              <w:t xml:space="preserve"> </w:t>
                            </w:r>
                            <w:r w:rsidR="005735CA">
                              <w:rPr>
                                <w:rStyle w:val="etmabriefe"/>
                                <w:sz w:val="17"/>
                                <w:lang w:val="de-DE"/>
                              </w:rPr>
                              <w:t>+49 211 4796-</w:t>
                            </w:r>
                            <w:r w:rsidR="00491714">
                              <w:rPr>
                                <w:rStyle w:val="etmabriefe"/>
                                <w:sz w:val="17"/>
                                <w:lang w:val="de-DE"/>
                              </w:rPr>
                              <w:t>280</w:t>
                            </w:r>
                          </w:p>
                          <w:p w14:paraId="609BC5F9" w14:textId="191D457C"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r>
                            <w:proofErr w:type="gramStart"/>
                            <w:r w:rsidR="00053EB2">
                              <w:rPr>
                                <w:rStyle w:val="etmabriefe"/>
                                <w:sz w:val="17"/>
                                <w:lang w:val="de-DE"/>
                              </w:rPr>
                              <w:t>E</w:t>
                            </w:r>
                            <w:r>
                              <w:rPr>
                                <w:rStyle w:val="etmabriefe"/>
                                <w:sz w:val="17"/>
                                <w:lang w:val="de-DE"/>
                              </w:rPr>
                              <w:t>mail</w:t>
                            </w:r>
                            <w:r w:rsidR="00D639E0">
                              <w:rPr>
                                <w:rStyle w:val="etmabriefe"/>
                                <w:sz w:val="17"/>
                                <w:lang w:val="de-DE"/>
                              </w:rPr>
                              <w:t>:info@etma-online.org</w:t>
                            </w:r>
                            <w:proofErr w:type="gramEnd"/>
                            <w:hyperlink r:id="rId3" w:history="1"/>
                          </w:p>
                          <w:p w14:paraId="5306BDEB" w14:textId="23181F13" w:rsidR="005735CA" w:rsidRPr="00377766" w:rsidRDefault="008841BF" w:rsidP="005735CA">
                            <w:pPr>
                              <w:tabs>
                                <w:tab w:val="left" w:pos="284"/>
                                <w:tab w:val="left" w:pos="7655"/>
                                <w:tab w:val="left" w:pos="8364"/>
                              </w:tabs>
                              <w:ind w:firstLine="426"/>
                              <w:rPr>
                                <w:rStyle w:val="etmabriefe"/>
                                <w:sz w:val="17"/>
                                <w:lang w:val="en-US"/>
                              </w:rPr>
                            </w:pPr>
                            <w:r w:rsidRPr="00377766">
                              <w:rPr>
                                <w:rStyle w:val="etmabriefe"/>
                                <w:sz w:val="17"/>
                                <w:lang w:val="en-US"/>
                              </w:rPr>
                              <w:t>GERMANY</w:t>
                            </w:r>
                            <w:r w:rsidR="005735CA" w:rsidRPr="00377766">
                              <w:rPr>
                                <w:rStyle w:val="etmabriefe"/>
                                <w:sz w:val="17"/>
                                <w:lang w:val="en-US"/>
                              </w:rPr>
                              <w:tab/>
                            </w:r>
                            <w:r w:rsidR="00053EB2" w:rsidRPr="00377766">
                              <w:rPr>
                                <w:rStyle w:val="etmabriefe"/>
                                <w:sz w:val="17"/>
                                <w:lang w:val="en-US"/>
                              </w:rPr>
                              <w:t>W</w:t>
                            </w:r>
                            <w:r w:rsidR="005735CA" w:rsidRPr="00377766">
                              <w:rPr>
                                <w:rStyle w:val="etmabriefe"/>
                                <w:sz w:val="17"/>
                                <w:lang w:val="en-US"/>
                              </w:rPr>
                              <w:t>eb</w:t>
                            </w:r>
                            <w:r w:rsidRPr="00377766">
                              <w:rPr>
                                <w:rStyle w:val="etmabriefe"/>
                                <w:sz w:val="17"/>
                                <w:lang w:val="en-US"/>
                              </w:rPr>
                              <w:t xml:space="preserve"> </w:t>
                            </w:r>
                            <w:hyperlink r:id="rId4" w:history="1">
                              <w:r w:rsidR="005735CA" w:rsidRPr="00377766">
                                <w:rPr>
                                  <w:rStyle w:val="Hyperlink"/>
                                  <w:rFonts w:ascii="Arial" w:hAnsi="Arial" w:cs="Arial"/>
                                  <w:color w:val="007DBA"/>
                                  <w:sz w:val="17"/>
                                  <w:lang w:val="en-US"/>
                                </w:rPr>
                                <w:t>www.etma-online.org</w:t>
                              </w:r>
                            </w:hyperlink>
                          </w:p>
                        </w:txbxContent>
                      </v:textbox>
                      <w10:wrap anchorx="page" anchory="page"/>
                      <w10:anchorlock/>
                    </v:shape>
                  </w:pict>
                </mc:Fallback>
              </mc:AlternateConten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PAGE</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w:t>
            </w:r>
            <w:r w:rsidRPr="00925FB9">
              <w:rPr>
                <w:rFonts w:ascii="Arial" w:hAnsi="Arial" w:cs="Arial"/>
                <w:bCs/>
                <w:color w:val="007DBA"/>
                <w:sz w:val="16"/>
                <w:szCs w:val="16"/>
              </w:rPr>
              <w:fldChar w:fldCharType="end"/>
            </w:r>
            <w:r w:rsidRPr="00925FB9">
              <w:rPr>
                <w:rFonts w:ascii="Arial" w:hAnsi="Arial" w:cs="Arial"/>
                <w:color w:val="007DBA"/>
                <w:sz w:val="16"/>
                <w:szCs w:val="16"/>
                <w:lang w:val="de-DE"/>
              </w:rPr>
              <w:t xml:space="preserve"> / </w: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NUMPAGES</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14</w:t>
            </w:r>
            <w:r w:rsidRPr="00925FB9">
              <w:rPr>
                <w:rFonts w:ascii="Arial" w:hAnsi="Arial" w:cs="Arial"/>
                <w:bCs/>
                <w:color w:val="007DBA"/>
                <w:sz w:val="16"/>
                <w:szCs w:val="16"/>
              </w:rPr>
              <w:fldChar w:fldCharType="end"/>
            </w:r>
          </w:p>
        </w:sdtContent>
      </w:sdt>
    </w:sdtContent>
  </w:sdt>
  <w:p w14:paraId="18C75A1D" w14:textId="77777777" w:rsidR="005735CA" w:rsidRPr="00925FB9" w:rsidRDefault="005735CA">
    <w:pPr>
      <w:pStyle w:val="Fuzeile"/>
      <w:rPr>
        <w:color w:val="007DB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FC456" w14:textId="77777777" w:rsidR="00D567CC" w:rsidRDefault="00D567CC" w:rsidP="000C2018">
      <w:r>
        <w:separator/>
      </w:r>
    </w:p>
  </w:footnote>
  <w:footnote w:type="continuationSeparator" w:id="0">
    <w:p w14:paraId="4DC32C3F" w14:textId="77777777" w:rsidR="00D567CC" w:rsidRDefault="00D567CC" w:rsidP="000C2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05F53" w14:textId="77777777" w:rsidR="005735CA" w:rsidRDefault="005735CA">
    <w:pPr>
      <w:pStyle w:val="Kopfzeile"/>
    </w:pPr>
    <w:r>
      <w:rPr>
        <w:noProof/>
        <w:lang w:val="de-DE"/>
      </w:rPr>
      <w:drawing>
        <wp:anchor distT="0" distB="0" distL="114300" distR="114300" simplePos="0" relativeHeight="251659264" behindDoc="1" locked="0" layoutInCell="1" allowOverlap="1" wp14:anchorId="52050A42" wp14:editId="26675C5F">
          <wp:simplePos x="0" y="0"/>
          <wp:positionH relativeFrom="column">
            <wp:posOffset>5746699</wp:posOffset>
          </wp:positionH>
          <wp:positionV relativeFrom="paragraph">
            <wp:posOffset>345332</wp:posOffset>
          </wp:positionV>
          <wp:extent cx="1115773" cy="903157"/>
          <wp:effectExtent l="0" t="0" r="8255" b="0"/>
          <wp:wrapNone/>
          <wp:docPr id="10" name="Grafik 10" descr="H:\SCANS, Fotos u. Bilder, Videos\Logos aller Art\etma_logo_briefkopfgröß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H:\SCANS, Fotos u. Bilder, Videos\Logos aller Art\etma_logo_briefkopfgröße.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5773" cy="90315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819B0"/>
    <w:multiLevelType w:val="hybridMultilevel"/>
    <w:tmpl w:val="7638D0B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15:restartNumberingAfterBreak="0">
    <w:nsid w:val="12201973"/>
    <w:multiLevelType w:val="multilevel"/>
    <w:tmpl w:val="FBA6B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532374"/>
    <w:multiLevelType w:val="multilevel"/>
    <w:tmpl w:val="DD9058FE"/>
    <w:lvl w:ilvl="0">
      <w:start w:val="1"/>
      <w:numFmt w:val="decimal"/>
      <w:lvlText w:val="%1."/>
      <w:lvlJc w:val="left"/>
      <w:pPr>
        <w:ind w:left="1069" w:hanging="360"/>
      </w:pPr>
      <w:rPr>
        <w:rFonts w:hint="default"/>
      </w:rPr>
    </w:lvl>
    <w:lvl w:ilvl="1">
      <w:start w:val="2"/>
      <w:numFmt w:val="decimal"/>
      <w:isLgl/>
      <w:lvlText w:val="%1.%2"/>
      <w:lvlJc w:val="left"/>
      <w:pPr>
        <w:ind w:left="1261" w:hanging="552"/>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25450D15"/>
    <w:multiLevelType w:val="hybridMultilevel"/>
    <w:tmpl w:val="41C6D3E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 w15:restartNumberingAfterBreak="0">
    <w:nsid w:val="53BA4B9C"/>
    <w:multiLevelType w:val="hybridMultilevel"/>
    <w:tmpl w:val="E5209C5A"/>
    <w:lvl w:ilvl="0" w:tplc="04070001">
      <w:start w:val="1"/>
      <w:numFmt w:val="bullet"/>
      <w:lvlText w:val=""/>
      <w:lvlJc w:val="left"/>
      <w:pPr>
        <w:ind w:left="1211" w:hanging="360"/>
      </w:pPr>
      <w:rPr>
        <w:rFonts w:ascii="Symbol" w:hAnsi="Symbol" w:hint="default"/>
      </w:rPr>
    </w:lvl>
    <w:lvl w:ilvl="1" w:tplc="04070003">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5" w15:restartNumberingAfterBreak="0">
    <w:nsid w:val="583C3903"/>
    <w:multiLevelType w:val="hybridMultilevel"/>
    <w:tmpl w:val="E9C022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57C04EA"/>
    <w:multiLevelType w:val="hybridMultilevel"/>
    <w:tmpl w:val="54C69F5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66DF44A9"/>
    <w:multiLevelType w:val="hybridMultilevel"/>
    <w:tmpl w:val="9D94E0B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8" w15:restartNumberingAfterBreak="0">
    <w:nsid w:val="785D5378"/>
    <w:multiLevelType w:val="multilevel"/>
    <w:tmpl w:val="B10CC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92D0EA5"/>
    <w:multiLevelType w:val="hybridMultilevel"/>
    <w:tmpl w:val="F8C0A48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16cid:durableId="513347244">
    <w:abstractNumId w:val="7"/>
  </w:num>
  <w:num w:numId="2" w16cid:durableId="96796893">
    <w:abstractNumId w:val="2"/>
  </w:num>
  <w:num w:numId="3" w16cid:durableId="1005673926">
    <w:abstractNumId w:val="4"/>
  </w:num>
  <w:num w:numId="4" w16cid:durableId="141777541">
    <w:abstractNumId w:val="5"/>
  </w:num>
  <w:num w:numId="5" w16cid:durableId="2081445673">
    <w:abstractNumId w:val="9"/>
  </w:num>
  <w:num w:numId="6" w16cid:durableId="953026772">
    <w:abstractNumId w:val="3"/>
  </w:num>
  <w:num w:numId="7" w16cid:durableId="1521428097">
    <w:abstractNumId w:val="0"/>
  </w:num>
  <w:num w:numId="8" w16cid:durableId="906919705">
    <w:abstractNumId w:val="6"/>
  </w:num>
  <w:num w:numId="9" w16cid:durableId="661474254">
    <w:abstractNumId w:val="1"/>
  </w:num>
  <w:num w:numId="10" w16cid:durableId="20140692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BFE"/>
    <w:rsid w:val="000002FE"/>
    <w:rsid w:val="0000183A"/>
    <w:rsid w:val="00011609"/>
    <w:rsid w:val="00020350"/>
    <w:rsid w:val="00053EB2"/>
    <w:rsid w:val="0005736F"/>
    <w:rsid w:val="00065E13"/>
    <w:rsid w:val="0007331C"/>
    <w:rsid w:val="00075F9A"/>
    <w:rsid w:val="00090442"/>
    <w:rsid w:val="000C2018"/>
    <w:rsid w:val="000C5B78"/>
    <w:rsid w:val="00106608"/>
    <w:rsid w:val="00117A26"/>
    <w:rsid w:val="0013295C"/>
    <w:rsid w:val="00177B13"/>
    <w:rsid w:val="001845FD"/>
    <w:rsid w:val="001916F8"/>
    <w:rsid w:val="001B0B0B"/>
    <w:rsid w:val="001F085D"/>
    <w:rsid w:val="0020295B"/>
    <w:rsid w:val="00214FC0"/>
    <w:rsid w:val="00283146"/>
    <w:rsid w:val="00284116"/>
    <w:rsid w:val="00292A79"/>
    <w:rsid w:val="002C148B"/>
    <w:rsid w:val="002F0AE9"/>
    <w:rsid w:val="00312937"/>
    <w:rsid w:val="00321800"/>
    <w:rsid w:val="00323405"/>
    <w:rsid w:val="00350E25"/>
    <w:rsid w:val="00361152"/>
    <w:rsid w:val="00377766"/>
    <w:rsid w:val="0039550E"/>
    <w:rsid w:val="003B5254"/>
    <w:rsid w:val="0040241B"/>
    <w:rsid w:val="0041369D"/>
    <w:rsid w:val="004241C1"/>
    <w:rsid w:val="0043399F"/>
    <w:rsid w:val="00457D99"/>
    <w:rsid w:val="00475B51"/>
    <w:rsid w:val="00483DE2"/>
    <w:rsid w:val="00491714"/>
    <w:rsid w:val="004B6E29"/>
    <w:rsid w:val="004B7F04"/>
    <w:rsid w:val="004E60FF"/>
    <w:rsid w:val="004F7A8D"/>
    <w:rsid w:val="00505680"/>
    <w:rsid w:val="00547AF5"/>
    <w:rsid w:val="00570503"/>
    <w:rsid w:val="005735CA"/>
    <w:rsid w:val="005B0C76"/>
    <w:rsid w:val="005E0F9B"/>
    <w:rsid w:val="005F6036"/>
    <w:rsid w:val="0060131C"/>
    <w:rsid w:val="00617A4F"/>
    <w:rsid w:val="00644BF3"/>
    <w:rsid w:val="00655A61"/>
    <w:rsid w:val="00670733"/>
    <w:rsid w:val="0067418A"/>
    <w:rsid w:val="00676A98"/>
    <w:rsid w:val="006C59E1"/>
    <w:rsid w:val="006C7C87"/>
    <w:rsid w:val="00733C79"/>
    <w:rsid w:val="00741B75"/>
    <w:rsid w:val="0074465D"/>
    <w:rsid w:val="00775976"/>
    <w:rsid w:val="0077761A"/>
    <w:rsid w:val="0078662F"/>
    <w:rsid w:val="007B0668"/>
    <w:rsid w:val="007B0A28"/>
    <w:rsid w:val="00804A03"/>
    <w:rsid w:val="00814361"/>
    <w:rsid w:val="00820DA1"/>
    <w:rsid w:val="008841BF"/>
    <w:rsid w:val="008E7628"/>
    <w:rsid w:val="008F245B"/>
    <w:rsid w:val="009056DF"/>
    <w:rsid w:val="00980A88"/>
    <w:rsid w:val="009C44F0"/>
    <w:rsid w:val="00A2244F"/>
    <w:rsid w:val="00A23DF2"/>
    <w:rsid w:val="00A550C1"/>
    <w:rsid w:val="00A626D4"/>
    <w:rsid w:val="00A82841"/>
    <w:rsid w:val="00A91BCE"/>
    <w:rsid w:val="00A94454"/>
    <w:rsid w:val="00A96E64"/>
    <w:rsid w:val="00AA1B45"/>
    <w:rsid w:val="00AD1106"/>
    <w:rsid w:val="00AE22BC"/>
    <w:rsid w:val="00AE6134"/>
    <w:rsid w:val="00AF7331"/>
    <w:rsid w:val="00B04017"/>
    <w:rsid w:val="00B62BDC"/>
    <w:rsid w:val="00B86871"/>
    <w:rsid w:val="00BA6850"/>
    <w:rsid w:val="00BB6DE8"/>
    <w:rsid w:val="00C12C0F"/>
    <w:rsid w:val="00C30DA5"/>
    <w:rsid w:val="00C37B12"/>
    <w:rsid w:val="00C529D4"/>
    <w:rsid w:val="00C54C43"/>
    <w:rsid w:val="00C631CD"/>
    <w:rsid w:val="00CB6F3E"/>
    <w:rsid w:val="00CC35B0"/>
    <w:rsid w:val="00CD373A"/>
    <w:rsid w:val="00CD7B11"/>
    <w:rsid w:val="00CE0E79"/>
    <w:rsid w:val="00D00872"/>
    <w:rsid w:val="00D567CC"/>
    <w:rsid w:val="00D639E0"/>
    <w:rsid w:val="00D648CB"/>
    <w:rsid w:val="00D77857"/>
    <w:rsid w:val="00DC2045"/>
    <w:rsid w:val="00DD5D9B"/>
    <w:rsid w:val="00DD6CC8"/>
    <w:rsid w:val="00DE76BF"/>
    <w:rsid w:val="00DF1796"/>
    <w:rsid w:val="00DF45A0"/>
    <w:rsid w:val="00E30714"/>
    <w:rsid w:val="00E31664"/>
    <w:rsid w:val="00E92367"/>
    <w:rsid w:val="00E9625A"/>
    <w:rsid w:val="00EB1513"/>
    <w:rsid w:val="00EB1BFE"/>
    <w:rsid w:val="00ED6D15"/>
    <w:rsid w:val="00EF2ECF"/>
    <w:rsid w:val="00F0216C"/>
    <w:rsid w:val="00F11787"/>
    <w:rsid w:val="00F1303E"/>
    <w:rsid w:val="00F376C5"/>
    <w:rsid w:val="00F423EB"/>
    <w:rsid w:val="00F53ABE"/>
    <w:rsid w:val="00F766C7"/>
    <w:rsid w:val="00FE0A6C"/>
    <w:rsid w:val="00FE2096"/>
    <w:rsid w:val="00FE5B2C"/>
    <w:rsid w:val="00FF6A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C3DA9"/>
  <w15:chartTrackingRefBased/>
  <w15:docId w15:val="{EBC4788F-70FC-45BB-8B35-7E928F964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1BFE"/>
    <w:pPr>
      <w:spacing w:after="0" w:line="240" w:lineRule="auto"/>
    </w:pPr>
    <w:rPr>
      <w:rFonts w:ascii="Times" w:eastAsia="Times" w:hAnsi="Times" w:cs="Times New Roman"/>
      <w:sz w:val="24"/>
      <w:szCs w:val="20"/>
      <w:lang w:val="en-GB" w:eastAsia="de-DE"/>
    </w:rPr>
  </w:style>
  <w:style w:type="paragraph" w:styleId="berschrift4">
    <w:name w:val="heading 4"/>
    <w:basedOn w:val="Standard"/>
    <w:next w:val="Standard"/>
    <w:link w:val="berschrift4Zchn"/>
    <w:qFormat/>
    <w:rsid w:val="00EB1BFE"/>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EB1BFE"/>
    <w:rPr>
      <w:rFonts w:ascii="Times New Roman" w:eastAsia="Times" w:hAnsi="Times New Roman" w:cs="Times New Roman"/>
      <w:b/>
      <w:bCs/>
      <w:sz w:val="28"/>
      <w:szCs w:val="28"/>
      <w:lang w:val="en-GB" w:eastAsia="de-DE"/>
    </w:rPr>
  </w:style>
  <w:style w:type="character" w:styleId="Hyperlink">
    <w:name w:val="Hyperlink"/>
    <w:basedOn w:val="Absatz-Standardschriftart"/>
    <w:semiHidden/>
    <w:rsid w:val="00EB1BFE"/>
    <w:rPr>
      <w:color w:val="0000FF"/>
      <w:u w:val="single"/>
    </w:rPr>
  </w:style>
  <w:style w:type="character" w:customStyle="1" w:styleId="etmabriefe">
    <w:name w:val="etma briefe"/>
    <w:basedOn w:val="Absatz-Standardschriftart"/>
    <w:rsid w:val="00EB1BFE"/>
    <w:rPr>
      <w:rFonts w:ascii="Arial" w:hAnsi="Arial" w:cs="Arial"/>
      <w:color w:val="007DBA"/>
      <w:sz w:val="22"/>
    </w:rPr>
  </w:style>
  <w:style w:type="paragraph" w:styleId="Fuzeile">
    <w:name w:val="footer"/>
    <w:basedOn w:val="Standard"/>
    <w:link w:val="FuzeileZchn"/>
    <w:uiPriority w:val="99"/>
    <w:rsid w:val="00EB1BFE"/>
    <w:pPr>
      <w:tabs>
        <w:tab w:val="center" w:pos="4536"/>
        <w:tab w:val="right" w:pos="9072"/>
      </w:tabs>
    </w:pPr>
  </w:style>
  <w:style w:type="character" w:customStyle="1" w:styleId="FuzeileZchn">
    <w:name w:val="Fußzeile Zchn"/>
    <w:basedOn w:val="Absatz-Standardschriftart"/>
    <w:link w:val="Fuzeile"/>
    <w:uiPriority w:val="99"/>
    <w:rsid w:val="00EB1BFE"/>
    <w:rPr>
      <w:rFonts w:ascii="Times" w:eastAsia="Times" w:hAnsi="Times" w:cs="Times New Roman"/>
      <w:sz w:val="24"/>
      <w:szCs w:val="20"/>
      <w:lang w:val="en-GB" w:eastAsia="de-DE"/>
    </w:rPr>
  </w:style>
  <w:style w:type="paragraph" w:styleId="Kopfzeile">
    <w:name w:val="header"/>
    <w:basedOn w:val="Standard"/>
    <w:link w:val="KopfzeileZchn"/>
    <w:semiHidden/>
    <w:rsid w:val="00EB1BFE"/>
    <w:pPr>
      <w:tabs>
        <w:tab w:val="center" w:pos="4536"/>
        <w:tab w:val="right" w:pos="9072"/>
      </w:tabs>
    </w:pPr>
  </w:style>
  <w:style w:type="character" w:customStyle="1" w:styleId="KopfzeileZchn">
    <w:name w:val="Kopfzeile Zchn"/>
    <w:basedOn w:val="Absatz-Standardschriftart"/>
    <w:link w:val="Kopfzeile"/>
    <w:semiHidden/>
    <w:rsid w:val="00EB1BFE"/>
    <w:rPr>
      <w:rFonts w:ascii="Times" w:eastAsia="Times" w:hAnsi="Times" w:cs="Times New Roman"/>
      <w:sz w:val="24"/>
      <w:szCs w:val="20"/>
      <w:lang w:val="en-GB" w:eastAsia="de-DE"/>
    </w:rPr>
  </w:style>
  <w:style w:type="paragraph" w:styleId="Listenabsatz">
    <w:name w:val="List Paragraph"/>
    <w:basedOn w:val="Standard"/>
    <w:uiPriority w:val="34"/>
    <w:qFormat/>
    <w:rsid w:val="00EB1BFE"/>
    <w:pPr>
      <w:spacing w:line="280" w:lineRule="exact"/>
      <w:ind w:left="720"/>
      <w:contextualSpacing/>
      <w:jc w:val="both"/>
    </w:pPr>
    <w:rPr>
      <w:rFonts w:ascii="DIN-Regular" w:eastAsiaTheme="minorHAnsi" w:hAnsi="DIN-Regular"/>
      <w:sz w:val="19"/>
      <w:szCs w:val="19"/>
      <w:lang w:val="de-DE"/>
    </w:rPr>
  </w:style>
  <w:style w:type="paragraph" w:styleId="Sprechblasentext">
    <w:name w:val="Balloon Text"/>
    <w:basedOn w:val="Standard"/>
    <w:link w:val="SprechblasentextZchn"/>
    <w:uiPriority w:val="99"/>
    <w:semiHidden/>
    <w:unhideWhenUsed/>
    <w:rsid w:val="00075F9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5F9A"/>
    <w:rPr>
      <w:rFonts w:ascii="Segoe UI" w:eastAsia="Times" w:hAnsi="Segoe UI" w:cs="Segoe UI"/>
      <w:sz w:val="18"/>
      <w:szCs w:val="18"/>
      <w:lang w:val="en-GB" w:eastAsia="de-DE"/>
    </w:rPr>
  </w:style>
  <w:style w:type="paragraph" w:styleId="StandardWeb">
    <w:name w:val="Normal (Web)"/>
    <w:basedOn w:val="Standard"/>
    <w:uiPriority w:val="99"/>
    <w:unhideWhenUsed/>
    <w:rsid w:val="00CC35B0"/>
    <w:pPr>
      <w:spacing w:before="100" w:beforeAutospacing="1" w:after="100" w:afterAutospacing="1"/>
    </w:pPr>
    <w:rPr>
      <w:rFonts w:ascii="Times New Roman" w:eastAsia="Times New Roman" w:hAnsi="Times New Roman"/>
      <w:szCs w:val="24"/>
      <w:lang w:val="en-US" w:eastAsia="en-US"/>
    </w:rPr>
  </w:style>
  <w:style w:type="character" w:styleId="Fett">
    <w:name w:val="Strong"/>
    <w:basedOn w:val="Absatz-Standardschriftart"/>
    <w:uiPriority w:val="22"/>
    <w:qFormat/>
    <w:rsid w:val="00CC35B0"/>
    <w:rPr>
      <w:b/>
      <w:bCs/>
    </w:rPr>
  </w:style>
  <w:style w:type="paragraph" w:styleId="berarbeitung">
    <w:name w:val="Revision"/>
    <w:hidden/>
    <w:uiPriority w:val="99"/>
    <w:semiHidden/>
    <w:rsid w:val="00A96E64"/>
    <w:pPr>
      <w:spacing w:after="0" w:line="240" w:lineRule="auto"/>
    </w:pPr>
    <w:rPr>
      <w:rFonts w:ascii="Times" w:eastAsia="Times" w:hAnsi="Times" w:cs="Times New Roman"/>
      <w:sz w:val="24"/>
      <w:szCs w:val="2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5032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 TargetMode="External"/><Relationship Id="rId2" Type="http://schemas.openxmlformats.org/officeDocument/2006/relationships/hyperlink" Target="http://www.etma-online.org" TargetMode="External"/><Relationship Id="rId1" Type="http://schemas.openxmlformats.org/officeDocument/2006/relationships/hyperlink" Target="mailto:" TargetMode="External"/><Relationship Id="rId4" Type="http://schemas.openxmlformats.org/officeDocument/2006/relationships/hyperlink" Target="http://www.etma-onlin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2221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Spengler</dc:creator>
  <cp:keywords/>
  <dc:description/>
  <cp:lastModifiedBy>Seifeldin Raslan Mohamed</cp:lastModifiedBy>
  <cp:revision>8</cp:revision>
  <dcterms:created xsi:type="dcterms:W3CDTF">2025-10-06T12:01:00Z</dcterms:created>
  <dcterms:modified xsi:type="dcterms:W3CDTF">2025-10-07T08:19:00Z</dcterms:modified>
</cp:coreProperties>
</file>